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BC58D6">
        <w:rPr>
          <w:color w:val="26282F"/>
        </w:rPr>
        <w:t>3</w:t>
      </w:r>
      <w:r w:rsidR="00A73BEE">
        <w:rPr>
          <w:color w:val="26282F"/>
        </w:rPr>
        <w:t xml:space="preserve"> по ул. </w:t>
      </w:r>
      <w:r w:rsidR="00BC58D6">
        <w:rPr>
          <w:color w:val="26282F"/>
        </w:rPr>
        <w:t xml:space="preserve">Фикрята Табеева </w:t>
      </w:r>
      <w:r w:rsidR="00F45CE8" w:rsidRPr="00F45CE8">
        <w:rPr>
          <w:color w:val="26282F"/>
        </w:rPr>
        <w:t>г. Казань</w:t>
      </w:r>
      <w:r w:rsidR="000F3C47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4A6D5B">
            <w:r w:rsidRPr="009B197A">
              <w:t>Ремонт детских площадок (покраска, ремонт)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 xml:space="preserve"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</w:t>
            </w:r>
            <w:r w:rsidRPr="00980105">
              <w:rPr>
                <w:b w:val="0"/>
              </w:rPr>
              <w:lastRenderedPageBreak/>
              <w:t>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lastRenderedPageBreak/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Pr="00980105" w:rsidRDefault="00E84F4A" w:rsidP="00BC58D6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42AD9" w:rsidRPr="00980105" w:rsidRDefault="00142AD9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42AD9">
              <w:rPr>
                <w:b w:val="0"/>
                <w:bCs w:val="0"/>
                <w:color w:val="26282F"/>
              </w:rPr>
              <w:t>Провели 1 этап монтажа автополива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Pr="00B7740A" w:rsidRDefault="000F3C47" w:rsidP="000F3C47">
            <w:r w:rsidRPr="00B7740A">
              <w:t xml:space="preserve">По мере необходимости проводили подстриг кустов </w:t>
            </w:r>
          </w:p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Pr="00B7740A" w:rsidRDefault="000F3C47" w:rsidP="000F3C47"/>
        </w:tc>
      </w:tr>
      <w:tr w:rsidR="000F3C4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0F3C47" w:rsidRPr="00980105" w:rsidRDefault="000F3C47" w:rsidP="000F3C4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0F3C47" w:rsidRPr="00980105" w:rsidRDefault="000F3C47" w:rsidP="000F3C4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0F3C47" w:rsidRPr="00980105" w:rsidRDefault="000F3C47" w:rsidP="000F3C4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0F3C47" w:rsidRDefault="000F3C47" w:rsidP="000F3C47">
            <w:r w:rsidRPr="00B7740A">
              <w:t>Проводили подсев газона, внесение удобрений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bookmarkStart w:id="1" w:name="_GoBack"/>
            <w:bookmarkEnd w:id="1"/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00" w:rsidRDefault="00497700">
      <w:r>
        <w:separator/>
      </w:r>
    </w:p>
  </w:endnote>
  <w:endnote w:type="continuationSeparator" w:id="0">
    <w:p w:rsidR="00497700" w:rsidRDefault="004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00" w:rsidRDefault="00497700">
      <w:r>
        <w:separator/>
      </w:r>
    </w:p>
  </w:footnote>
  <w:footnote w:type="continuationSeparator" w:id="0">
    <w:p w:rsidR="00497700" w:rsidRDefault="0049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87B78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3C47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2AD9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6243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97700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97A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698B"/>
    <w:rsid w:val="00807885"/>
    <w:rsid w:val="008120E4"/>
    <w:rsid w:val="00816176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0A80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195F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58D6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08426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6BBE-3529-480B-849D-A4C021C0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8</cp:revision>
  <cp:lastPrinted>2018-05-15T07:35:00Z</cp:lastPrinted>
  <dcterms:created xsi:type="dcterms:W3CDTF">2020-10-12T07:26:00Z</dcterms:created>
  <dcterms:modified xsi:type="dcterms:W3CDTF">2021-02-05T06:51:00Z</dcterms:modified>
</cp:coreProperties>
</file>